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04" w:rsidRDefault="00311E04">
      <w:r>
        <w:t>Este servicio se realiza trimestralmente y se aumenta la cuota 1’21€ mensuales desde Abril 2018.</w:t>
      </w:r>
      <w:bookmarkStart w:id="0" w:name="_GoBack"/>
      <w:bookmarkEnd w:id="0"/>
    </w:p>
    <w:p w:rsidR="00C370F5" w:rsidRDefault="002A4028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3039725" cy="70485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97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28"/>
    <w:rsid w:val="002A4028"/>
    <w:rsid w:val="00311E04"/>
    <w:rsid w:val="00C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5A8"/>
  <w15:chartTrackingRefBased/>
  <w15:docId w15:val="{D85DDCF3-BD5D-4351-8E75-9F817EC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Contabilidad1</cp:lastModifiedBy>
  <cp:revision>2</cp:revision>
  <dcterms:created xsi:type="dcterms:W3CDTF">2018-04-17T06:22:00Z</dcterms:created>
  <dcterms:modified xsi:type="dcterms:W3CDTF">2018-04-17T06:28:00Z</dcterms:modified>
</cp:coreProperties>
</file>